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55828B2B" w:rsidR="004F2F40" w:rsidRPr="00550AC9" w:rsidRDefault="004D1C53" w:rsidP="004F2F40">
      <w:pPr>
        <w:rPr>
          <w:b/>
          <w:sz w:val="28"/>
          <w:szCs w:val="28"/>
          <w:lang w:val="en-GB"/>
        </w:rPr>
      </w:pPr>
      <w:r w:rsidRPr="00550AC9">
        <w:rPr>
          <w:b/>
          <w:sz w:val="28"/>
          <w:lang w:val="en-GB"/>
        </w:rPr>
        <w:t xml:space="preserve">Special contractual terms and conditions under </w:t>
      </w:r>
      <w:r w:rsidR="00550AC9">
        <w:rPr>
          <w:b/>
          <w:sz w:val="28"/>
          <w:lang w:val="en-GB"/>
        </w:rPr>
        <w:t xml:space="preserve">the </w:t>
      </w:r>
      <w:r w:rsidRPr="00550AC9">
        <w:rPr>
          <w:b/>
          <w:sz w:val="28"/>
          <w:lang w:val="en-GB"/>
        </w:rPr>
        <w:t>award procedure</w:t>
      </w:r>
      <w:r w:rsidR="00E34F90">
        <w:rPr>
          <w:b/>
          <w:sz w:val="28"/>
          <w:lang w:val="en-GB"/>
        </w:rPr>
        <w:t xml:space="preserve"> </w:t>
      </w:r>
      <w:r w:rsidR="00E34F90" w:rsidRPr="00E34F90">
        <w:rPr>
          <w:b/>
          <w:sz w:val="28"/>
          <w:lang w:val="en-GB"/>
        </w:rPr>
        <w:t>10005343 EV Charging Solar Carport for Nigeria</w:t>
      </w:r>
      <w:r w:rsidR="00E34F90">
        <w:rPr>
          <w:b/>
          <w:sz w:val="28"/>
          <w:lang w:val="en-GB"/>
        </w:rPr>
        <w:t xml:space="preserve"> o</w:t>
      </w:r>
      <w:r w:rsidRPr="00550AC9">
        <w:rPr>
          <w:b/>
          <w:sz w:val="28"/>
          <w:lang w:val="en-GB"/>
        </w:rPr>
        <w:t>f the Deutsche Gesellschaft für Internationale Zusammenarbeit (GIZ) GmbH</w:t>
      </w:r>
    </w:p>
    <w:p w14:paraId="248034DE" w14:textId="77777777" w:rsidR="00717481" w:rsidRPr="00550AC9" w:rsidRDefault="00717481" w:rsidP="00E31450">
      <w:pPr>
        <w:jc w:val="both"/>
        <w:rPr>
          <w:rStyle w:val="Seitenzahl"/>
          <w:lang w:val="en-GB"/>
        </w:rPr>
      </w:pPr>
    </w:p>
    <w:p w14:paraId="6578E5CA" w14:textId="77777777" w:rsidR="004F2F40" w:rsidRPr="00550AC9" w:rsidRDefault="004D1C53" w:rsidP="00E31450">
      <w:pPr>
        <w:jc w:val="both"/>
        <w:rPr>
          <w:rStyle w:val="Seitenzahl"/>
          <w:lang w:val="en-GB"/>
        </w:rPr>
      </w:pPr>
      <w:r w:rsidRPr="00550AC9">
        <w:rPr>
          <w:rStyle w:val="Seitenzahl"/>
          <w:lang w:val="en-GB"/>
        </w:rPr>
        <w:t xml:space="preserve">The following special contractual terms and conditions apply when </w:t>
      </w:r>
      <w:r w:rsidR="009D3954" w:rsidRPr="00550AC9">
        <w:rPr>
          <w:rStyle w:val="Seitenzahl"/>
          <w:lang w:val="en-GB"/>
        </w:rPr>
        <w:t xml:space="preserve">preparing </w:t>
      </w:r>
      <w:r w:rsidRPr="00550AC9">
        <w:rPr>
          <w:rStyle w:val="Seitenzahl"/>
          <w:lang w:val="en-GB"/>
        </w:rPr>
        <w:t>bids and providing the goods/services covered by the present contract award procedure:</w:t>
      </w:r>
    </w:p>
    <w:p w14:paraId="6A14589D" w14:textId="77777777" w:rsidR="00717481" w:rsidRPr="00550AC9" w:rsidRDefault="00717481" w:rsidP="00E31450">
      <w:pPr>
        <w:jc w:val="both"/>
        <w:rPr>
          <w:rStyle w:val="Seitenzahl"/>
          <w:lang w:val="en-GB"/>
        </w:rPr>
      </w:pPr>
    </w:p>
    <w:p w14:paraId="29985DE5" w14:textId="227A6B45" w:rsidR="00717481" w:rsidRPr="00550AC9" w:rsidRDefault="004D1C53" w:rsidP="00D66DBB">
      <w:pPr>
        <w:jc w:val="both"/>
        <w:rPr>
          <w:rStyle w:val="Seitenzahl"/>
          <w:lang w:val="en-GB"/>
        </w:rPr>
      </w:pPr>
      <w:r w:rsidRPr="00550AC9">
        <w:rPr>
          <w:rStyle w:val="Seitenzahl"/>
          <w:lang w:val="en-GB"/>
        </w:rPr>
        <w:t xml:space="preserve">Aside from the bill of quantities indicating prices, please include in your submission a bid </w:t>
      </w:r>
      <w:r w:rsidR="00550AC9">
        <w:rPr>
          <w:rStyle w:val="Seitenzahl"/>
          <w:lang w:val="en-GB"/>
        </w:rPr>
        <w:t>in</w:t>
      </w:r>
      <w:r w:rsidRPr="00550AC9">
        <w:rPr>
          <w:rStyle w:val="Seitenzahl"/>
          <w:lang w:val="en-GB"/>
        </w:rPr>
        <w:t xml:space="preserve"> PDF </w:t>
      </w:r>
      <w:r w:rsidR="00550AC9">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sidR="00403E20">
        <w:rPr>
          <w:lang w:val="en-GB"/>
        </w:rPr>
        <w:t>article description</w:t>
      </w:r>
      <w:r w:rsidR="00550AC9">
        <w:rPr>
          <w:lang w:val="en-GB"/>
        </w:rPr>
        <w:t xml:space="preserve"> </w:t>
      </w:r>
      <w:r w:rsidRPr="00550AC9">
        <w:rPr>
          <w:lang w:val="en-GB"/>
        </w:rPr>
        <w:t xml:space="preserve"> in accordance with the terms of reference, the unit price and </w:t>
      </w:r>
      <w:r w:rsidR="00550AC9">
        <w:rPr>
          <w:lang w:val="en-GB"/>
        </w:rPr>
        <w:t xml:space="preserve">the </w:t>
      </w:r>
      <w:r w:rsidRPr="00550AC9">
        <w:rPr>
          <w:lang w:val="en-GB"/>
        </w:rPr>
        <w:t>total price, the prices of individual potential lots, packaging and shipping costs as indicated in the delivery clause and for the complete service offered</w:t>
      </w:r>
      <w:r w:rsidR="00550AC9">
        <w:rPr>
          <w:lang w:val="en-GB"/>
        </w:rPr>
        <w:t>,</w:t>
      </w:r>
      <w:r w:rsidRPr="00550AC9">
        <w:rPr>
          <w:lang w:val="en-GB"/>
        </w:rPr>
        <w:t xml:space="preserve"> and payment terms and delivery dates (see also terms and conditions for application).</w:t>
      </w:r>
    </w:p>
    <w:p w14:paraId="6DB62FC0" w14:textId="2F467035" w:rsidR="00601D45" w:rsidRDefault="00601D45" w:rsidP="00E31450">
      <w:pPr>
        <w:jc w:val="both"/>
        <w:rPr>
          <w:rStyle w:val="Seitenzahl"/>
          <w:lang w:val="en-GB"/>
        </w:rPr>
      </w:pPr>
    </w:p>
    <w:p w14:paraId="2AB5CC8D" w14:textId="2D177660" w:rsidR="00C126B5" w:rsidRPr="009D1D65" w:rsidRDefault="00C126B5" w:rsidP="00C126B5">
      <w:pPr>
        <w:jc w:val="both"/>
        <w:rPr>
          <w:rStyle w:val="Seitenzahl"/>
          <w:b/>
          <w:bCs/>
        </w:rPr>
      </w:pPr>
      <w:r>
        <w:rPr>
          <w:rStyle w:val="Seitenzahl"/>
          <w:b/>
        </w:rPr>
        <w:t>Information on compliance with embargoes and other trade restrictions currently in place</w:t>
      </w:r>
      <w:r w:rsidR="00630526">
        <w:rPr>
          <w:rStyle w:val="Seitenzahl"/>
          <w:b/>
        </w:rPr>
        <w:t>:</w:t>
      </w:r>
    </w:p>
    <w:p w14:paraId="3E6A0B0B" w14:textId="77777777" w:rsidR="00587C6E" w:rsidRDefault="00587C6E" w:rsidP="00C126B5">
      <w:pPr>
        <w:jc w:val="both"/>
        <w:rPr>
          <w:rStyle w:val="Seitenzahl"/>
        </w:rPr>
      </w:pPr>
    </w:p>
    <w:p w14:paraId="1B74FCEA" w14:textId="1BBEA317" w:rsidR="00C126B5" w:rsidRDefault="00C126B5" w:rsidP="00C126B5">
      <w:pPr>
        <w:jc w:val="both"/>
        <w:rPr>
          <w:rStyle w:val="Seitenzahl"/>
        </w:rPr>
      </w:pPr>
      <w:r w:rsidRPr="005E461E">
        <w:rPr>
          <w:rStyle w:val="Seitenzahl"/>
        </w:rPr>
        <w:t>GIZ</w:t>
      </w:r>
      <w:r>
        <w:rPr>
          <w:rStyle w:val="Seitenzahl"/>
        </w:rPr>
        <w:t xml:space="preserve"> specifically points out that under Section 6 of GIZ’s General Purchase Conditions (version dated </w:t>
      </w:r>
      <w:r w:rsidR="00A42DF3">
        <w:rPr>
          <w:rStyle w:val="Seitenzahl"/>
        </w:rPr>
        <w:t>July</w:t>
      </w:r>
      <w:r>
        <w:rPr>
          <w:rStyle w:val="Seitenzahl"/>
        </w:rPr>
        <w:t xml:space="preserve"> 202</w:t>
      </w:r>
      <w:r w:rsidR="00A42DF3">
        <w:rPr>
          <w:rStyle w:val="Seitenzahl"/>
        </w:rPr>
        <w:t>3</w:t>
      </w:r>
      <w:r>
        <w:rPr>
          <w:rStyle w:val="Seitenzahl"/>
        </w:rPr>
        <w:t>),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72175F9E" w14:textId="77777777" w:rsidR="00C126B5" w:rsidRDefault="00C126B5" w:rsidP="00C126B5">
      <w:pPr>
        <w:jc w:val="both"/>
        <w:rPr>
          <w:rStyle w:val="Seitenzahl"/>
        </w:rPr>
      </w:pPr>
    </w:p>
    <w:p w14:paraId="05BC1C99" w14:textId="77777777" w:rsidR="00C126B5" w:rsidRDefault="00C126B5" w:rsidP="00C126B5">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60F84A38" w14:textId="77777777" w:rsidR="00601D45" w:rsidRDefault="00601D45" w:rsidP="00E31450">
      <w:pPr>
        <w:jc w:val="both"/>
        <w:rPr>
          <w:rStyle w:val="Seitenzahl"/>
          <w:lang w:val="en-GB"/>
        </w:rPr>
      </w:pPr>
    </w:p>
    <w:p w14:paraId="0BDEE79B" w14:textId="0C21D75A" w:rsidR="00991AF1" w:rsidRDefault="00991AF1" w:rsidP="00E31450">
      <w:pPr>
        <w:jc w:val="both"/>
        <w:rPr>
          <w:rStyle w:val="Seitenzahl"/>
          <w:lang w:val="en-GB"/>
        </w:rPr>
      </w:pPr>
      <w:r>
        <w:rPr>
          <w:rStyle w:val="Seitenzahl"/>
          <w:lang w:val="en-GB"/>
        </w:rPr>
        <w:t>Delivery to project country with handover to the partner</w:t>
      </w:r>
    </w:p>
    <w:p w14:paraId="15B8D1BE" w14:textId="2FA366CF" w:rsidR="00991AF1" w:rsidRPr="0043077F" w:rsidRDefault="00991AF1" w:rsidP="00991AF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7F074AE6" w14:textId="59F066F8" w:rsidR="00991AF1" w:rsidRDefault="00991AF1" w:rsidP="00991AF1">
      <w:pPr>
        <w:jc w:val="both"/>
        <w:rPr>
          <w:rStyle w:val="Seitenzahl"/>
          <w:lang w:val="en-GB"/>
        </w:rPr>
      </w:pPr>
      <w:r w:rsidRPr="0043077F">
        <w:rPr>
          <w:rStyle w:val="Seitenzahl"/>
          <w:lang w:val="en-GB"/>
        </w:rPr>
        <w:t xml:space="preserve">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w:t>
      </w:r>
      <w:r w:rsidR="00E61B2F" w:rsidRPr="0043077F">
        <w:rPr>
          <w:rStyle w:val="Seitenzahl"/>
          <w:lang w:val="en-GB"/>
        </w:rPr>
        <w:t>order</w:t>
      </w:r>
      <w:r w:rsidRPr="0043077F">
        <w:rPr>
          <w:rStyle w:val="Seitenzahl"/>
          <w:lang w:val="en-GB"/>
        </w:rPr>
        <w:t xml:space="preserve"> against appropriate proof.</w:t>
      </w:r>
    </w:p>
    <w:p w14:paraId="45EC83D0" w14:textId="77777777" w:rsidR="001F4E22" w:rsidRDefault="001F4E22" w:rsidP="00E31450">
      <w:pPr>
        <w:jc w:val="both"/>
        <w:rPr>
          <w:rStyle w:val="Seitenzahl"/>
          <w:lang w:val="en-GB"/>
        </w:rPr>
      </w:pPr>
    </w:p>
    <w:p w14:paraId="5D9875AE" w14:textId="77777777" w:rsidR="001F4E22" w:rsidRDefault="001F4E22" w:rsidP="001F4E22">
      <w:pPr>
        <w:jc w:val="both"/>
        <w:rPr>
          <w:rStyle w:val="Seitenzahl"/>
          <w:lang w:val="en-GB"/>
        </w:rPr>
      </w:pPr>
    </w:p>
    <w:p w14:paraId="492EF58F" w14:textId="77777777" w:rsidR="00717481" w:rsidRPr="00550AC9" w:rsidRDefault="004D1C53" w:rsidP="00E31450">
      <w:pPr>
        <w:jc w:val="both"/>
        <w:rPr>
          <w:rStyle w:val="Seitenzahl"/>
          <w:lang w:val="en-GB"/>
        </w:rPr>
      </w:pPr>
      <w:r w:rsidRPr="00550AC9">
        <w:rPr>
          <w:rStyle w:val="Seitenzahl"/>
          <w:b/>
          <w:lang w:val="en-GB"/>
        </w:rPr>
        <w:t>Payment terms:</w:t>
      </w:r>
      <w:r w:rsidRPr="00550AC9">
        <w:rPr>
          <w:rStyle w:val="Seitenzahl"/>
          <w:lang w:val="en-GB"/>
        </w:rPr>
        <w:t xml:space="preserve"> </w:t>
      </w:r>
    </w:p>
    <w:p w14:paraId="0B8838C1" w14:textId="016687B4" w:rsidR="00813B1C" w:rsidRDefault="004C6F75" w:rsidP="00E31450">
      <w:pPr>
        <w:jc w:val="both"/>
      </w:pPr>
      <w:r w:rsidRPr="00526D48">
        <w:t xml:space="preserve">Payment within </w:t>
      </w:r>
      <w:r w:rsidR="00E34F90">
        <w:t>30</w:t>
      </w:r>
      <w:r w:rsidRPr="00526D48">
        <w:t xml:space="preserve"> days </w:t>
      </w:r>
      <w:r w:rsidR="00E34F90">
        <w:t>after completion</w:t>
      </w:r>
      <w:r w:rsidRPr="00526D48">
        <w:t xml:space="preserve"> and after receipt of a commercial invoice.</w:t>
      </w:r>
    </w:p>
    <w:p w14:paraId="46ECF7D9" w14:textId="749E8BCF" w:rsidR="00E34F90" w:rsidRDefault="00E34F90" w:rsidP="00E31450">
      <w:pPr>
        <w:jc w:val="both"/>
        <w:rPr>
          <w:rStyle w:val="Seitenzahl"/>
          <w:lang w:val="en-GB"/>
        </w:rPr>
      </w:pPr>
      <w:r>
        <w:t>Optional Maintenance 30 days after performance event.</w:t>
      </w:r>
    </w:p>
    <w:p w14:paraId="137DBFE8" w14:textId="63C9EA7C" w:rsidR="00B84D99" w:rsidRDefault="00B84D99" w:rsidP="00E31450">
      <w:pPr>
        <w:jc w:val="both"/>
        <w:rPr>
          <w:rStyle w:val="Seitenzahl"/>
          <w:lang w:val="en-GB"/>
        </w:rPr>
      </w:pPr>
    </w:p>
    <w:p w14:paraId="54358A36" w14:textId="77777777" w:rsidR="0031349C" w:rsidRDefault="0031349C" w:rsidP="00E31450">
      <w:pPr>
        <w:jc w:val="both"/>
        <w:rPr>
          <w:rStyle w:val="Seitenzahl"/>
          <w:lang w:val="en-GB"/>
        </w:rPr>
      </w:pPr>
    </w:p>
    <w:p w14:paraId="6BE4E030" w14:textId="77777777" w:rsidR="00E34F90" w:rsidRDefault="00E34F90" w:rsidP="006374EF">
      <w:pPr>
        <w:jc w:val="both"/>
        <w:rPr>
          <w:rStyle w:val="Seitenzahl"/>
          <w:b/>
          <w:bCs/>
          <w:lang w:val="en-GB"/>
        </w:rPr>
      </w:pPr>
    </w:p>
    <w:p w14:paraId="3D0F3DC7" w14:textId="77777777" w:rsidR="00E34F90" w:rsidRDefault="00E34F90">
      <w:pPr>
        <w:rPr>
          <w:rStyle w:val="Seitenzahl"/>
          <w:b/>
          <w:bCs/>
          <w:lang w:val="en-GB"/>
        </w:rPr>
      </w:pPr>
      <w:r>
        <w:rPr>
          <w:rStyle w:val="Seitenzahl"/>
          <w:b/>
          <w:bCs/>
          <w:lang w:val="en-GB"/>
        </w:rPr>
        <w:br w:type="page"/>
      </w:r>
    </w:p>
    <w:p w14:paraId="1297C8C4" w14:textId="46797877" w:rsidR="006374EF" w:rsidRPr="006374EF" w:rsidRDefault="006374EF" w:rsidP="006374EF">
      <w:pPr>
        <w:jc w:val="both"/>
        <w:rPr>
          <w:rStyle w:val="Seitenzahl"/>
          <w:b/>
          <w:bCs/>
          <w:lang w:val="en-GB"/>
        </w:rPr>
      </w:pPr>
      <w:r w:rsidRPr="006374EF">
        <w:rPr>
          <w:rStyle w:val="Seitenzahl"/>
          <w:b/>
          <w:bCs/>
          <w:lang w:val="en-GB"/>
        </w:rPr>
        <w:lastRenderedPageBreak/>
        <w:t>Invoicing:</w:t>
      </w:r>
    </w:p>
    <w:p w14:paraId="6AF1F98A" w14:textId="77777777" w:rsidR="009B2514" w:rsidRDefault="009B2514" w:rsidP="00377A1C">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56B9D17E" w14:textId="77777777" w:rsidR="009B2514" w:rsidRDefault="009B2514" w:rsidP="00377A1C">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6379AB5E" w14:textId="3ED023E5" w:rsidR="009B2514" w:rsidRDefault="009B2514" w:rsidP="00377A1C">
      <w:pPr>
        <w:jc w:val="both"/>
      </w:pPr>
      <w:r w:rsidRPr="002D7162">
        <w:t xml:space="preserve">Regardless of the invoicing </w:t>
      </w:r>
      <w:r w:rsidR="00377A1C" w:rsidRPr="002D7162">
        <w:t>method, the</w:t>
      </w:r>
      <w:r w:rsidRPr="002D7162">
        <w:t xml:space="preserve"> </w:t>
      </w:r>
      <w:r>
        <w:t xml:space="preserve">invoice must always include the complete GIZ </w:t>
      </w:r>
      <w:r w:rsidRPr="002D7162">
        <w:t>contract number or order number. XRechnung</w:t>
      </w:r>
      <w:r>
        <w:t>invoices must be issued stating the</w:t>
      </w:r>
      <w:r w:rsidRPr="002D7162">
        <w:t xml:space="preserve"> GIZ routing ID</w:t>
      </w:r>
      <w:r>
        <w:t xml:space="preserve"> (Leitweg-ID)</w:t>
      </w:r>
      <w:r w:rsidRPr="002D7162">
        <w:t xml:space="preserve"> "993-80072-52". </w:t>
      </w:r>
    </w:p>
    <w:p w14:paraId="1705F1C3" w14:textId="77777777" w:rsidR="009B2514" w:rsidRPr="007F5D40" w:rsidRDefault="009B2514" w:rsidP="00377A1C">
      <w:pPr>
        <w:jc w:val="both"/>
      </w:pPr>
      <w:r>
        <w:t>In addition, the supplier must comply with the following requirements</w:t>
      </w:r>
      <w:r w:rsidRPr="007F5D40">
        <w:t>:</w:t>
      </w:r>
    </w:p>
    <w:p w14:paraId="5A1879EA" w14:textId="77777777" w:rsidR="009B2514" w:rsidRPr="00147F4A" w:rsidRDefault="009B2514" w:rsidP="00377A1C">
      <w:pPr>
        <w:numPr>
          <w:ilvl w:val="0"/>
          <w:numId w:val="17"/>
        </w:numPr>
        <w:ind w:left="1134"/>
        <w:jc w:val="both"/>
      </w:pPr>
      <w:r w:rsidRPr="00147F4A">
        <w:t>The invoice must be attached as an e-mail attachment in 1st place</w:t>
      </w:r>
    </w:p>
    <w:p w14:paraId="7809E90F" w14:textId="77777777" w:rsidR="009B2514" w:rsidRPr="00B256DF" w:rsidRDefault="009B2514" w:rsidP="00377A1C">
      <w:pPr>
        <w:numPr>
          <w:ilvl w:val="0"/>
          <w:numId w:val="17"/>
        </w:numPr>
        <w:ind w:left="1134"/>
        <w:jc w:val="both"/>
      </w:pPr>
      <w:r>
        <w:t>N</w:t>
      </w:r>
      <w:r w:rsidRPr="00B256DF">
        <w:t>ot encrypted</w:t>
      </w:r>
    </w:p>
    <w:p w14:paraId="2F3EE999" w14:textId="77777777" w:rsidR="009B2514" w:rsidRPr="00B256DF" w:rsidRDefault="009B2514" w:rsidP="00377A1C">
      <w:pPr>
        <w:numPr>
          <w:ilvl w:val="0"/>
          <w:numId w:val="17"/>
        </w:numPr>
        <w:ind w:left="1134"/>
        <w:jc w:val="both"/>
      </w:pPr>
      <w:r>
        <w:t>N</w:t>
      </w:r>
      <w:r w:rsidRPr="00B256DF">
        <w:t>ot password-protected</w:t>
      </w:r>
    </w:p>
    <w:p w14:paraId="1B9463E2" w14:textId="77777777" w:rsidR="009B2514" w:rsidRPr="009C3F2F" w:rsidRDefault="009B2514" w:rsidP="00377A1C">
      <w:pPr>
        <w:numPr>
          <w:ilvl w:val="0"/>
          <w:numId w:val="17"/>
        </w:numPr>
        <w:ind w:left="1134"/>
        <w:jc w:val="both"/>
      </w:pPr>
      <w:r>
        <w:t>N</w:t>
      </w:r>
      <w:r w:rsidRPr="009C3F2F">
        <w:t>o invoice relevant information in the e-mail body</w:t>
      </w:r>
    </w:p>
    <w:p w14:paraId="26C88BA7" w14:textId="77777777" w:rsidR="009B2514" w:rsidRPr="009C3F2F" w:rsidRDefault="009B2514" w:rsidP="00377A1C">
      <w:pPr>
        <w:numPr>
          <w:ilvl w:val="0"/>
          <w:numId w:val="17"/>
        </w:numPr>
        <w:ind w:left="1134"/>
        <w:jc w:val="both"/>
      </w:pPr>
      <w:r>
        <w:t>N</w:t>
      </w:r>
      <w:r w:rsidRPr="009C3F2F">
        <w:t>o additional delivery of copies in paper format.</w:t>
      </w:r>
    </w:p>
    <w:p w14:paraId="49D00298" w14:textId="77777777" w:rsidR="009B2514" w:rsidRPr="00D2204E" w:rsidRDefault="009B2514" w:rsidP="00377A1C">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092E6707" w14:textId="77777777" w:rsidR="00DD3399" w:rsidRPr="00BF73D6" w:rsidRDefault="00DD3399" w:rsidP="00CC7B4E">
      <w:pPr>
        <w:jc w:val="both"/>
      </w:pPr>
    </w:p>
    <w:p w14:paraId="77151C29" w14:textId="77777777" w:rsidR="006374EF" w:rsidRPr="00550AC9" w:rsidRDefault="006374EF" w:rsidP="00E31450">
      <w:pPr>
        <w:jc w:val="both"/>
        <w:rPr>
          <w:rStyle w:val="Seitenzahl"/>
          <w:lang w:val="en-GB"/>
        </w:rPr>
      </w:pPr>
    </w:p>
    <w:p w14:paraId="4244DAD4" w14:textId="29162561" w:rsidR="00717481" w:rsidRPr="00550AC9" w:rsidRDefault="004D1C53" w:rsidP="00E31450">
      <w:pPr>
        <w:jc w:val="both"/>
        <w:rPr>
          <w:lang w:val="en-GB"/>
        </w:rPr>
      </w:pPr>
      <w:r w:rsidRPr="00550AC9">
        <w:rPr>
          <w:b/>
          <w:lang w:val="en-GB"/>
        </w:rPr>
        <w:t>Delivery clause</w:t>
      </w:r>
      <w:r w:rsidR="003D1CD6">
        <w:rPr>
          <w:b/>
          <w:lang w:val="en-GB"/>
        </w:rPr>
        <w:t>:</w:t>
      </w:r>
      <w:r w:rsidRPr="00550AC9">
        <w:rPr>
          <w:lang w:val="en-GB"/>
        </w:rPr>
        <w:t xml:space="preserve"> </w:t>
      </w:r>
    </w:p>
    <w:p w14:paraId="4CA75542" w14:textId="403C6F39" w:rsidR="00461EA9" w:rsidRPr="00550AC9" w:rsidRDefault="00E34F90" w:rsidP="00E31450">
      <w:pPr>
        <w:jc w:val="both"/>
        <w:rPr>
          <w:lang w:val="en-GB"/>
        </w:rPr>
      </w:pPr>
      <w:r>
        <w:rPr>
          <w:lang w:val="en-GB"/>
        </w:rPr>
        <w:t>CIF Lagos Seaport</w:t>
      </w:r>
      <w:r w:rsidR="00461EA9">
        <w:rPr>
          <w:lang w:val="en-GB"/>
        </w:rPr>
        <w:t xml:space="preserve"> (optional FCA Hamburg Seaport/ optional DDP Lagos)</w:t>
      </w:r>
    </w:p>
    <w:p w14:paraId="44E17D3B" w14:textId="77777777" w:rsidR="00717481" w:rsidRPr="00550AC9" w:rsidRDefault="00717481" w:rsidP="00E31450">
      <w:pPr>
        <w:jc w:val="both"/>
        <w:rPr>
          <w:lang w:val="en-GB"/>
        </w:rPr>
      </w:pPr>
    </w:p>
    <w:p w14:paraId="198E1149" w14:textId="77777777" w:rsidR="00717481" w:rsidRPr="00550AC9" w:rsidRDefault="00717481" w:rsidP="00E31450">
      <w:pPr>
        <w:jc w:val="both"/>
        <w:rPr>
          <w:lang w:val="en-GB"/>
        </w:rPr>
      </w:pPr>
    </w:p>
    <w:p w14:paraId="7A39D09E" w14:textId="77777777" w:rsidR="00717481" w:rsidRPr="00550AC9" w:rsidRDefault="004D1C53" w:rsidP="00E31450">
      <w:pPr>
        <w:jc w:val="both"/>
        <w:rPr>
          <w:lang w:val="en-GB"/>
        </w:rPr>
      </w:pPr>
      <w:r w:rsidRPr="00550AC9">
        <w:rPr>
          <w:b/>
          <w:lang w:val="en-GB"/>
        </w:rPr>
        <w:t>Country of destination:</w:t>
      </w:r>
      <w:r w:rsidRPr="00550AC9">
        <w:rPr>
          <w:lang w:val="en-GB"/>
        </w:rPr>
        <w:t xml:space="preserve"> </w:t>
      </w:r>
    </w:p>
    <w:p w14:paraId="3E66D6B6" w14:textId="4C7D6642" w:rsidR="00717481" w:rsidRPr="00550AC9" w:rsidRDefault="00E34F90" w:rsidP="00E31450">
      <w:pPr>
        <w:jc w:val="both"/>
        <w:rPr>
          <w:lang w:val="en-GB"/>
        </w:rPr>
      </w:pPr>
      <w:r>
        <w:rPr>
          <w:lang w:val="en-GB"/>
        </w:rPr>
        <w:t>Nigeria</w:t>
      </w:r>
    </w:p>
    <w:p w14:paraId="0A47D771" w14:textId="5559BF68" w:rsidR="00717481" w:rsidRDefault="00717481" w:rsidP="00E31450">
      <w:pPr>
        <w:jc w:val="both"/>
        <w:rPr>
          <w:lang w:val="en-GB"/>
        </w:rPr>
      </w:pPr>
    </w:p>
    <w:p w14:paraId="0120BCEE" w14:textId="77777777" w:rsidR="00717481" w:rsidRPr="00A6689F" w:rsidRDefault="00717481" w:rsidP="00E31450">
      <w:pPr>
        <w:jc w:val="both"/>
        <w:rPr>
          <w:bCs/>
          <w:lang w:val="en-GB"/>
        </w:rPr>
      </w:pPr>
    </w:p>
    <w:p w14:paraId="5FFCB6BF" w14:textId="593F3C46" w:rsidR="00717481" w:rsidRPr="00550AC9" w:rsidRDefault="004D1C53" w:rsidP="00E31450">
      <w:pPr>
        <w:jc w:val="both"/>
        <w:rPr>
          <w:lang w:val="en-GB"/>
        </w:rPr>
      </w:pPr>
      <w:r w:rsidRPr="00550AC9">
        <w:rPr>
          <w:b/>
          <w:lang w:val="en-GB"/>
        </w:rPr>
        <w:t>Requested delivery date:</w:t>
      </w:r>
      <w:r w:rsidRPr="00550AC9">
        <w:rPr>
          <w:lang w:val="en-GB"/>
        </w:rPr>
        <w:t xml:space="preserve"> </w:t>
      </w:r>
    </w:p>
    <w:p w14:paraId="5FC4F114" w14:textId="1307319D" w:rsidR="00717481" w:rsidRDefault="004D1C53" w:rsidP="00E31450">
      <w:pPr>
        <w:jc w:val="both"/>
        <w:rPr>
          <w:lang w:val="en-GB"/>
        </w:rPr>
      </w:pPr>
      <w:r w:rsidRPr="00550AC9">
        <w:rPr>
          <w:lang w:val="en-GB"/>
        </w:rPr>
        <w:t>Please state your earliest delivery date.</w:t>
      </w:r>
    </w:p>
    <w:p w14:paraId="716513B1" w14:textId="77777777" w:rsidR="00E34F90" w:rsidRPr="00E34F90" w:rsidRDefault="00E34F90" w:rsidP="00E34F90">
      <w:pPr>
        <w:jc w:val="both"/>
        <w:rPr>
          <w:lang w:val="en-GB"/>
        </w:rPr>
      </w:pPr>
      <w:r w:rsidRPr="00E34F90">
        <w:rPr>
          <w:lang w:val="en-GB"/>
        </w:rPr>
        <w:t>The latest delivery date is two months after the order CIF Lagos Seaport.</w:t>
      </w:r>
    </w:p>
    <w:p w14:paraId="448EC01E" w14:textId="4DB1669C" w:rsidR="00E34F90" w:rsidRPr="00550AC9" w:rsidRDefault="00E34F90" w:rsidP="00E34F90">
      <w:pPr>
        <w:jc w:val="both"/>
        <w:rPr>
          <w:lang w:val="en-GB"/>
        </w:rPr>
      </w:pPr>
      <w:r w:rsidRPr="00E34F90">
        <w:rPr>
          <w:lang w:val="en-GB"/>
        </w:rPr>
        <w:t>Offers that do not include a binding delivery date within this period cannot be considered. The delivery date must be stated explicitly and without restriction in the offer PDF.</w:t>
      </w:r>
    </w:p>
    <w:p w14:paraId="21616C40" w14:textId="77777777" w:rsidR="00717481" w:rsidRPr="00550AC9" w:rsidRDefault="00717481" w:rsidP="00E31450">
      <w:pPr>
        <w:jc w:val="both"/>
        <w:rPr>
          <w:lang w:val="en-GB"/>
        </w:rPr>
      </w:pPr>
    </w:p>
    <w:p w14:paraId="0F8C02C2" w14:textId="77777777" w:rsidR="00717481" w:rsidRPr="0059603E" w:rsidRDefault="00717481" w:rsidP="00E31450">
      <w:pPr>
        <w:jc w:val="both"/>
      </w:pPr>
    </w:p>
    <w:p w14:paraId="09528427" w14:textId="77777777" w:rsidR="00717481" w:rsidRPr="00550AC9" w:rsidRDefault="004D1C53" w:rsidP="00E31450">
      <w:pPr>
        <w:jc w:val="both"/>
        <w:rPr>
          <w:lang w:val="en-GB"/>
        </w:rPr>
      </w:pPr>
      <w:r w:rsidRPr="00550AC9">
        <w:rPr>
          <w:b/>
          <w:lang w:val="en-GB"/>
        </w:rPr>
        <w:t>Packaging:</w:t>
      </w:r>
      <w:r w:rsidRPr="00550AC9">
        <w:rPr>
          <w:lang w:val="en-GB"/>
        </w:rPr>
        <w:t xml:space="preserve"> </w:t>
      </w:r>
    </w:p>
    <w:p w14:paraId="39D90D91" w14:textId="78264702" w:rsidR="00717481" w:rsidRPr="00550AC9" w:rsidRDefault="004D1C53" w:rsidP="00E31450">
      <w:pPr>
        <w:jc w:val="both"/>
        <w:rPr>
          <w:bCs/>
          <w:lang w:val="en-GB"/>
        </w:rPr>
      </w:pPr>
      <w:r w:rsidRPr="00550AC9">
        <w:rPr>
          <w:lang w:val="en-GB"/>
        </w:rPr>
        <w:t>Appropriately packaged for maritime freight in accordance with GIZ</w:t>
      </w:r>
      <w:r w:rsidRPr="00550AC9">
        <w:rPr>
          <w:cs/>
          <w:lang w:val="en-GB"/>
        </w:rPr>
        <w:t>’</w:t>
      </w:r>
      <w:r w:rsidRPr="00550AC9">
        <w:rPr>
          <w:lang w:val="en-GB"/>
        </w:rPr>
        <w:t xml:space="preserve">s </w:t>
      </w:r>
      <w:r w:rsidR="000974E2">
        <w:rPr>
          <w:lang w:val="en-GB"/>
        </w:rPr>
        <w:t xml:space="preserve">currently valid </w:t>
      </w:r>
      <w:r w:rsidRPr="00550AC9">
        <w:rPr>
          <w:lang w:val="en-GB"/>
        </w:rPr>
        <w:t>General Purchase Conditions (GPC).</w:t>
      </w:r>
    </w:p>
    <w:p w14:paraId="56EA3CA8" w14:textId="77777777" w:rsidR="004F2F40" w:rsidRPr="00550AC9" w:rsidRDefault="004F2F40" w:rsidP="00E31450">
      <w:pPr>
        <w:jc w:val="both"/>
        <w:rPr>
          <w:rStyle w:val="Seitenzahl"/>
          <w:lang w:val="en-GB"/>
        </w:rPr>
      </w:pPr>
    </w:p>
    <w:p w14:paraId="22AAFC71" w14:textId="77777777" w:rsidR="00BD0A66" w:rsidRDefault="00BD0A66" w:rsidP="00E31450">
      <w:pPr>
        <w:jc w:val="both"/>
        <w:rPr>
          <w:lang w:val="en-GB"/>
        </w:rPr>
      </w:pPr>
    </w:p>
    <w:p w14:paraId="4807148F" w14:textId="61208048" w:rsidR="00717481" w:rsidRPr="00E34F90" w:rsidRDefault="00990168" w:rsidP="00E31450">
      <w:pPr>
        <w:jc w:val="both"/>
        <w:rPr>
          <w:b/>
          <w:bCs/>
        </w:rPr>
      </w:pPr>
      <w:r w:rsidRPr="00E34F90">
        <w:rPr>
          <w:b/>
          <w:bCs/>
        </w:rPr>
        <w:t>Services at the place of assignment:</w:t>
      </w:r>
    </w:p>
    <w:p w14:paraId="660A3ED9" w14:textId="702F6803" w:rsidR="00BD0A66" w:rsidRPr="00E34F90" w:rsidRDefault="00BD0A66" w:rsidP="00BD0A66">
      <w:pPr>
        <w:jc w:val="both"/>
      </w:pPr>
      <w:r w:rsidRPr="00E34F90">
        <w:t>In accordance with the technical specification and tender specifications, services are to be provided at the place of assignment.</w:t>
      </w:r>
    </w:p>
    <w:p w14:paraId="3219EAAB" w14:textId="65B62869" w:rsidR="00BD0A66" w:rsidRPr="00E34F90" w:rsidRDefault="00BD0A66" w:rsidP="00BD0A66">
      <w:pPr>
        <w:jc w:val="both"/>
      </w:pPr>
      <w:r w:rsidRPr="00E34F90">
        <w:t>The respective service offered/applicable for installation, commissioning, approval, instruction, training, etc., must include all costs.</w:t>
      </w:r>
    </w:p>
    <w:p w14:paraId="38512B2D" w14:textId="62571D2F" w:rsidR="00BD0A66" w:rsidRPr="00E34F90" w:rsidRDefault="00E34F90" w:rsidP="00BD0A66">
      <w:pPr>
        <w:jc w:val="both"/>
      </w:pPr>
      <w:r w:rsidRPr="00E34F90">
        <w:t>-</w:t>
      </w:r>
      <w:r w:rsidR="00BD0A66" w:rsidRPr="00E34F90">
        <w:t xml:space="preserve"> including costs for </w:t>
      </w:r>
      <w:r w:rsidR="006336AB" w:rsidRPr="00E34F90">
        <w:t>trave</w:t>
      </w:r>
      <w:r w:rsidR="00BF1DA9" w:rsidRPr="00E34F90">
        <w:t>l expenses</w:t>
      </w:r>
      <w:r w:rsidR="00BD0A66" w:rsidRPr="00E34F90">
        <w:t xml:space="preserve">, other mobilisation and demobilisation costs (e.g. flight </w:t>
      </w:r>
      <w:r w:rsidR="00BF1DA9" w:rsidRPr="00E34F90">
        <w:t>expenses</w:t>
      </w:r>
      <w:r w:rsidR="00BD0A66" w:rsidRPr="00E34F90">
        <w:t>, preparation and follow-up costs, documentation, etc.)</w:t>
      </w:r>
    </w:p>
    <w:p w14:paraId="1CF2232F" w14:textId="0FCE3326" w:rsidR="00BD0A66" w:rsidRPr="00E34F90" w:rsidRDefault="00E34F90" w:rsidP="00BD0A66">
      <w:pPr>
        <w:jc w:val="both"/>
      </w:pPr>
      <w:r w:rsidRPr="00E34F90">
        <w:t>-</w:t>
      </w:r>
      <w:r w:rsidR="00BD0A66" w:rsidRPr="00E34F90">
        <w:t xml:space="preserve"> including travel</w:t>
      </w:r>
      <w:r w:rsidR="00BF1DA9" w:rsidRPr="00E34F90">
        <w:t>-related</w:t>
      </w:r>
      <w:r w:rsidR="00BD0A66" w:rsidRPr="00E34F90">
        <w:t xml:space="preserve"> expenses, ancillary travel expenses (visas, medical arrangements, etc.), accommodation costs, meal costs, insurance</w:t>
      </w:r>
    </w:p>
    <w:p w14:paraId="103C80A5" w14:textId="5CBBDE8D" w:rsidR="00BD0A66" w:rsidRPr="00DD2914" w:rsidRDefault="00E34F90" w:rsidP="00BD0A66">
      <w:pPr>
        <w:jc w:val="both"/>
      </w:pPr>
      <w:r w:rsidRPr="00E34F90">
        <w:t>-</w:t>
      </w:r>
      <w:r w:rsidR="00BD0A66" w:rsidRPr="00E34F90">
        <w:t xml:space="preserve"> including, where applicable, provision and transport of tools, equipment, necessary tools,</w:t>
      </w:r>
      <w:r w:rsidR="00BD0A66" w:rsidRPr="00DD2914">
        <w:t xml:space="preserve"> documents, teaching materials, etc.</w:t>
      </w:r>
    </w:p>
    <w:p w14:paraId="7C1FE0C0" w14:textId="29638E35" w:rsidR="00BD0A66" w:rsidRPr="00DD2914" w:rsidRDefault="00E34F90" w:rsidP="00BD0A66">
      <w:pPr>
        <w:jc w:val="both"/>
      </w:pPr>
      <w:r>
        <w:t>-</w:t>
      </w:r>
      <w:r w:rsidR="00BD0A66" w:rsidRPr="00DD2914">
        <w:t xml:space="preserve"> including transport for personnel at the place of assignment</w:t>
      </w:r>
    </w:p>
    <w:p w14:paraId="3A1B645E" w14:textId="6410AED9" w:rsidR="00BD0A66" w:rsidRPr="00DD2914" w:rsidRDefault="00BD0A66" w:rsidP="00BD0A66">
      <w:pPr>
        <w:jc w:val="both"/>
      </w:pPr>
      <w:r w:rsidRPr="00DD2914">
        <w:t>Additional services and associated reimbursements will be recognised only if these:</w:t>
      </w:r>
    </w:p>
    <w:p w14:paraId="47E64C74"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 xml:space="preserve">Have become necessary through no fault of the contractor or its suppliers </w:t>
      </w:r>
    </w:p>
    <w:p w14:paraId="690FE3F7"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 xml:space="preserve">The commissioning party is notified immediately </w:t>
      </w:r>
    </w:p>
    <w:p w14:paraId="21A9752A" w14:textId="77777777" w:rsidR="00BD0A66" w:rsidRPr="00DD2914" w:rsidRDefault="00BD0A66" w:rsidP="00BD0A66">
      <w:pPr>
        <w:pStyle w:val="Listenabsatz"/>
        <w:numPr>
          <w:ilvl w:val="0"/>
          <w:numId w:val="21"/>
        </w:numPr>
        <w:jc w:val="both"/>
        <w:rPr>
          <w:rFonts w:eastAsia="Times New Roman"/>
        </w:rPr>
      </w:pPr>
      <w:r w:rsidRPr="00DD2914">
        <w:rPr>
          <w:rFonts w:eastAsia="Times New Roman"/>
        </w:rPr>
        <w:t>The commissioning party has recognised such additional services</w:t>
      </w:r>
    </w:p>
    <w:p w14:paraId="39139D38" w14:textId="77777777" w:rsidR="00717481" w:rsidRPr="00BD0A66" w:rsidRDefault="00717481" w:rsidP="00E31450">
      <w:pPr>
        <w:jc w:val="both"/>
        <w:rPr>
          <w:rStyle w:val="Seitenzahl"/>
        </w:rPr>
      </w:pPr>
    </w:p>
    <w:p w14:paraId="0A8B4292" w14:textId="77777777" w:rsidR="00717481" w:rsidRPr="00550AC9" w:rsidRDefault="00717481" w:rsidP="00E31450">
      <w:pPr>
        <w:jc w:val="both"/>
        <w:rPr>
          <w:rStyle w:val="Seitenzahl"/>
          <w:lang w:val="en-GB"/>
        </w:rPr>
      </w:pPr>
    </w:p>
    <w:p w14:paraId="1B85A37F" w14:textId="2999CCE8" w:rsidR="00717481" w:rsidRPr="00550AC9" w:rsidRDefault="004D1C53" w:rsidP="00630526">
      <w:pPr>
        <w:tabs>
          <w:tab w:val="left" w:pos="3645"/>
        </w:tabs>
        <w:jc w:val="both"/>
        <w:rPr>
          <w:b/>
          <w:lang w:val="en-GB"/>
        </w:rPr>
      </w:pPr>
      <w:r w:rsidRPr="00550AC9">
        <w:rPr>
          <w:b/>
          <w:lang w:val="en-GB"/>
        </w:rPr>
        <w:t>Export licence</w:t>
      </w:r>
      <w:r w:rsidR="00630526">
        <w:rPr>
          <w:b/>
          <w:lang w:val="en-GB"/>
        </w:rPr>
        <w:t>:</w:t>
      </w:r>
    </w:p>
    <w:p w14:paraId="4C8728E0" w14:textId="77777777" w:rsidR="00F308FE" w:rsidRPr="008D6A75" w:rsidRDefault="00F308FE" w:rsidP="00F308FE">
      <w:pPr>
        <w:jc w:val="both"/>
        <w:rPr>
          <w:b/>
          <w:bCs/>
        </w:rPr>
      </w:pPr>
      <w:r>
        <w:rPr>
          <w:b/>
        </w:rPr>
        <w:t>Required information when submitting a tender</w:t>
      </w:r>
    </w:p>
    <w:p w14:paraId="7837FDDA" w14:textId="77777777" w:rsidR="00F308FE" w:rsidRDefault="00F308FE" w:rsidP="00F308FE">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1712844A" w14:textId="77777777" w:rsidR="00F308FE" w:rsidRDefault="00F308FE" w:rsidP="00F308FE">
      <w:pPr>
        <w:jc w:val="both"/>
      </w:pPr>
    </w:p>
    <w:p w14:paraId="3C69DA88" w14:textId="4DDFAA4B" w:rsidR="00F308FE" w:rsidRDefault="00F308FE" w:rsidP="00F308FE">
      <w:pPr>
        <w:pStyle w:val="Listenabsatz"/>
        <w:numPr>
          <w:ilvl w:val="3"/>
          <w:numId w:val="19"/>
        </w:numPr>
        <w:ind w:left="426"/>
        <w:jc w:val="both"/>
      </w:pPr>
      <w:r>
        <w:t>whether the requested products can be exported without a licence and you provide evidence to this effect in the form of a clearance certificate issued by the German Federal Office for Economic Affairs and Export Control (BAFA) at the client’s request. The clearance certificate may be issued by BAFA as information on the list of items (</w:t>
      </w:r>
      <w:r w:rsidRPr="00947BC0">
        <w:rPr>
          <w:i/>
          <w:iCs/>
        </w:rPr>
        <w:t>Auskunft zur Güterliste</w:t>
      </w:r>
      <w:r>
        <w:t>, AzG) or a miscellaneous request (</w:t>
      </w:r>
      <w:r w:rsidRPr="00947BC0">
        <w:rPr>
          <w:i/>
          <w:iCs/>
        </w:rPr>
        <w:t>Sonstige Anfrage</w:t>
      </w:r>
      <w:r>
        <w:t xml:space="preserve">). The clearance certificate must not be more than 12 months old. </w:t>
      </w:r>
    </w:p>
    <w:p w14:paraId="43F17078" w14:textId="77777777" w:rsidR="00F308FE" w:rsidRDefault="00F308FE" w:rsidP="00F308FE">
      <w:pPr>
        <w:pStyle w:val="Listenabsatz"/>
        <w:ind w:left="426"/>
        <w:jc w:val="both"/>
      </w:pPr>
    </w:p>
    <w:p w14:paraId="20747600" w14:textId="77777777" w:rsidR="00F308FE" w:rsidRDefault="00F308FE" w:rsidP="00F308FE">
      <w:pPr>
        <w:jc w:val="both"/>
      </w:pPr>
      <w:r>
        <w:t>If an export licence is required, please indicate whether</w:t>
      </w:r>
    </w:p>
    <w:p w14:paraId="2EDF9FA3" w14:textId="77777777" w:rsidR="00F308FE" w:rsidRPr="00F26DED" w:rsidRDefault="00F308FE" w:rsidP="00F308FE">
      <w:pPr>
        <w:pStyle w:val="Listenabsatz"/>
        <w:numPr>
          <w:ilvl w:val="3"/>
          <w:numId w:val="18"/>
        </w:numPr>
        <w:ind w:left="426"/>
        <w:jc w:val="both"/>
      </w:pPr>
      <w:r>
        <w:t>the product(s) in question require(s) an export licence in accordance with the current applicable version of the export control list (annex to the German Foreign Trade and Payments Ordinance);</w:t>
      </w:r>
    </w:p>
    <w:p w14:paraId="53FC0E8C" w14:textId="77777777" w:rsidR="00F308FE" w:rsidRDefault="00F308FE" w:rsidP="00F308FE">
      <w:pPr>
        <w:pStyle w:val="Listenabsatz"/>
        <w:numPr>
          <w:ilvl w:val="3"/>
          <w:numId w:val="18"/>
        </w:numPr>
        <w:ind w:left="426"/>
        <w:jc w:val="both"/>
      </w:pPr>
      <w:r>
        <w:t>the product(s) in question require(s) an export licence in accordance with the current applicable version of the Dual-Use List (Annex I to the EU Dual-Use Regulation).</w:t>
      </w:r>
    </w:p>
    <w:p w14:paraId="7917994D" w14:textId="77777777" w:rsidR="00F308FE" w:rsidRPr="00E31450" w:rsidRDefault="00F308FE" w:rsidP="00F308FE">
      <w:pPr>
        <w:jc w:val="both"/>
      </w:pPr>
    </w:p>
    <w:p w14:paraId="19612A0B" w14:textId="77777777" w:rsidR="00F308FE" w:rsidRDefault="00F308FE" w:rsidP="00F308FE">
      <w:pPr>
        <w:jc w:val="both"/>
      </w:pPr>
      <w:r>
        <w:t xml:space="preserve">If the recipient country is also a country under embargo, your tender may be taken into consideration only if you inform the client that </w:t>
      </w:r>
    </w:p>
    <w:p w14:paraId="3F96A045" w14:textId="77777777" w:rsidR="00F308FE" w:rsidRPr="004E4EAF" w:rsidRDefault="00F308FE" w:rsidP="00F308FE">
      <w:pPr>
        <w:pStyle w:val="Listenabsatz"/>
        <w:numPr>
          <w:ilvl w:val="3"/>
          <w:numId w:val="19"/>
        </w:numPr>
        <w:ind w:left="426"/>
        <w:jc w:val="both"/>
        <w:rPr>
          <w:rFonts w:asciiTheme="minorHAnsi" w:eastAsiaTheme="minorEastAsia" w:hAnsiTheme="minorHAnsi"/>
        </w:rPr>
      </w:pPr>
      <w:r>
        <w:t>the product(s) in question require(s) an export licence in accordance with the current applicable version of the embargo directive;</w:t>
      </w:r>
    </w:p>
    <w:p w14:paraId="108F3A5B" w14:textId="77777777" w:rsidR="00F308FE" w:rsidRPr="00C6555D" w:rsidRDefault="00F308FE" w:rsidP="00F308FE">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r w:rsidRPr="00947BC0">
        <w:rPr>
          <w:i/>
          <w:iCs/>
        </w:rPr>
        <w:t>Auskunft zur Güterliste</w:t>
      </w:r>
      <w:r>
        <w:t>, AzG) or a miscellaneous request (</w:t>
      </w:r>
      <w:r w:rsidRPr="00947BC0">
        <w:rPr>
          <w:i/>
          <w:iCs/>
        </w:rPr>
        <w:t>Sonstige Anfrage</w:t>
      </w:r>
      <w:r>
        <w:t>). The clearance certificate must not be more than six months old.</w:t>
      </w:r>
    </w:p>
    <w:p w14:paraId="61BE6CE1" w14:textId="77777777" w:rsidR="00F308FE" w:rsidRDefault="00F308FE" w:rsidP="00F308FE">
      <w:pPr>
        <w:ind w:left="66"/>
        <w:jc w:val="both"/>
      </w:pPr>
    </w:p>
    <w:p w14:paraId="6163D9F0" w14:textId="77777777" w:rsidR="00F308FE" w:rsidRDefault="00F308FE" w:rsidP="00F308FE">
      <w:pPr>
        <w:ind w:left="66"/>
        <w:jc w:val="both"/>
      </w:pPr>
      <w:r>
        <w:t>This information has to be confirmed by signature.</w:t>
      </w:r>
    </w:p>
    <w:p w14:paraId="4EACC319" w14:textId="77777777" w:rsidR="00F308FE" w:rsidRPr="008E36BE" w:rsidRDefault="00F308FE" w:rsidP="00F308FE">
      <w:pPr>
        <w:ind w:left="66"/>
        <w:jc w:val="both"/>
      </w:pPr>
    </w:p>
    <w:p w14:paraId="54C57A09" w14:textId="780A94A0" w:rsidR="00F308FE" w:rsidRPr="00B320FF" w:rsidRDefault="00F308FE" w:rsidP="00F308FE">
      <w:pPr>
        <w:jc w:val="both"/>
        <w:rPr>
          <w:b/>
          <w:bCs/>
        </w:rPr>
      </w:pPr>
      <w:r>
        <w:rPr>
          <w:b/>
        </w:rPr>
        <w:t>Information required when the contract is awarded</w:t>
      </w:r>
      <w:r w:rsidR="00630526">
        <w:rPr>
          <w:b/>
        </w:rPr>
        <w:t>:</w:t>
      </w:r>
    </w:p>
    <w:p w14:paraId="36E790F3" w14:textId="77777777" w:rsidR="00F308FE" w:rsidRDefault="00F308FE" w:rsidP="00F308FE">
      <w:pPr>
        <w:jc w:val="both"/>
      </w:pPr>
      <w:r>
        <w:t xml:space="preserve">If products requiring an export licence are involved, the </w:t>
      </w:r>
      <w:r>
        <w:rPr>
          <w:b/>
          <w:bCs/>
        </w:rPr>
        <w:t>Export Controls – Part 2 questionnaire</w:t>
      </w:r>
      <w:r>
        <w:t xml:space="preserve"> must also be completed in full when the contract is awarded and returned signed to the client within a week of receipt at the latest.</w:t>
      </w:r>
    </w:p>
    <w:p w14:paraId="6CB08068" w14:textId="77777777" w:rsidR="00F308FE" w:rsidRDefault="00F308FE" w:rsidP="00F308FE">
      <w:pPr>
        <w:jc w:val="both"/>
      </w:pPr>
    </w:p>
    <w:p w14:paraId="4A3B1695" w14:textId="77777777" w:rsidR="00F308FE" w:rsidRDefault="00F308FE" w:rsidP="00F308FE">
      <w:pPr>
        <w:jc w:val="both"/>
      </w:pPr>
      <w:r>
        <w:t xml:space="preserve">GIZ, as the exporter, will use the information you provide to apply to BAFA for the export licence. </w:t>
      </w:r>
    </w:p>
    <w:p w14:paraId="57DE3542" w14:textId="77777777" w:rsidR="00F308FE" w:rsidRPr="008237D6" w:rsidRDefault="00F308FE" w:rsidP="00F308FE">
      <w:pPr>
        <w:jc w:val="both"/>
        <w:rPr>
          <w:rFonts w:eastAsia="Arial"/>
        </w:rPr>
      </w:pPr>
      <w:r>
        <w:t>The client reserves the right to withdraw from the purchase agreement if the contractor omits information or provides incorrect or incomplete details regarding the obligation to obtain a licence for the goods or if the German Federal Office for Economic Affairs and Export Control (BAFA) refuses to grant an export licence.</w:t>
      </w:r>
      <w:r>
        <w:rPr>
          <w:color w:val="000000" w:themeColor="text1"/>
        </w:rPr>
        <w:t xml:space="preserve"> In case of withdrawal, GIZ shall be released from any obligation (of a contractual or any other nature) to you.</w:t>
      </w:r>
    </w:p>
    <w:p w14:paraId="02AE0ABC" w14:textId="77777777" w:rsidR="00F308FE" w:rsidRPr="008E36BE" w:rsidRDefault="00F308FE" w:rsidP="00F308FE">
      <w:pPr>
        <w:jc w:val="both"/>
      </w:pPr>
    </w:p>
    <w:p w14:paraId="45AC6769" w14:textId="77777777" w:rsidR="00717481" w:rsidRPr="00550AC9" w:rsidRDefault="00717481" w:rsidP="00E31450">
      <w:pPr>
        <w:jc w:val="both"/>
        <w:rPr>
          <w:lang w:val="en-GB"/>
        </w:rPr>
      </w:pPr>
    </w:p>
    <w:p w14:paraId="502E91E0" w14:textId="2913EA5B" w:rsidR="00717481" w:rsidRPr="00550AC9" w:rsidRDefault="004D1C53" w:rsidP="00E31450">
      <w:pPr>
        <w:jc w:val="both"/>
        <w:rPr>
          <w:b/>
          <w:lang w:val="en-GB"/>
        </w:rPr>
      </w:pPr>
      <w:r w:rsidRPr="00550AC9">
        <w:rPr>
          <w:b/>
          <w:lang w:val="en-GB"/>
        </w:rPr>
        <w:t>Hazardous goods</w:t>
      </w:r>
      <w:r w:rsidR="00630526">
        <w:rPr>
          <w:b/>
          <w:lang w:val="en-GB"/>
        </w:rPr>
        <w:t>:</w:t>
      </w:r>
    </w:p>
    <w:p w14:paraId="6342C9B8" w14:textId="5AC7535F" w:rsidR="00717481" w:rsidRPr="00550AC9" w:rsidRDefault="00172339" w:rsidP="00E31450">
      <w:pPr>
        <w:jc w:val="both"/>
        <w:rPr>
          <w:lang w:val="en-GB"/>
        </w:rPr>
      </w:pPr>
      <w:r>
        <w:rPr>
          <w:lang w:val="en-GB"/>
        </w:rPr>
        <w:t>If the contractor’s</w:t>
      </w:r>
      <w:r w:rsidR="004D1C53" w:rsidRPr="00550AC9">
        <w:rPr>
          <w:lang w:val="en-GB"/>
        </w:rPr>
        <w:t xml:space="preserve"> bid covers hazardous goods as defined in the relevant transport regulations, </w:t>
      </w:r>
      <w:r>
        <w:rPr>
          <w:lang w:val="en-GB"/>
        </w:rPr>
        <w:t>the contractor</w:t>
      </w:r>
      <w:r w:rsidRPr="00550AC9">
        <w:rPr>
          <w:lang w:val="en-GB"/>
        </w:rPr>
        <w:t xml:space="preserve"> </w:t>
      </w:r>
      <w:r w:rsidR="004D1C53" w:rsidRPr="00550AC9">
        <w:rPr>
          <w:lang w:val="en-GB"/>
        </w:rPr>
        <w:t>must:</w:t>
      </w:r>
    </w:p>
    <w:p w14:paraId="14418CCF" w14:textId="77777777" w:rsidR="00717481" w:rsidRPr="00550AC9" w:rsidRDefault="004D1C53" w:rsidP="00E31450">
      <w:pPr>
        <w:jc w:val="both"/>
        <w:rPr>
          <w:lang w:val="en-GB"/>
        </w:rPr>
      </w:pPr>
      <w:r w:rsidRPr="00550AC9">
        <w:rPr>
          <w:lang w:val="en-GB"/>
        </w:rPr>
        <w:t>- identify the goods as hazardous in accordance with the binding guidelines;</w:t>
      </w:r>
    </w:p>
    <w:p w14:paraId="31C3A96E" w14:textId="1F70977F" w:rsidR="00717481" w:rsidRPr="00550AC9" w:rsidRDefault="004D1C53" w:rsidP="00E31450">
      <w:pPr>
        <w:jc w:val="both"/>
        <w:rPr>
          <w:lang w:val="en-GB"/>
        </w:rPr>
      </w:pPr>
      <w:r w:rsidRPr="00550AC9">
        <w:rPr>
          <w:lang w:val="en-GB"/>
        </w:rPr>
        <w:t>- specify the hazard class/number/UN number</w:t>
      </w:r>
      <w:r w:rsidR="007A5D8B" w:rsidRPr="00550AC9">
        <w:rPr>
          <w:lang w:val="en-GB"/>
        </w:rPr>
        <w:t>;</w:t>
      </w:r>
    </w:p>
    <w:p w14:paraId="3A47BEB2" w14:textId="77777777" w:rsidR="00717481" w:rsidRPr="00550AC9" w:rsidRDefault="004D1C53" w:rsidP="00E31450">
      <w:pPr>
        <w:jc w:val="both"/>
        <w:rPr>
          <w:lang w:val="en-GB"/>
        </w:rPr>
      </w:pPr>
      <w:r w:rsidRPr="00550AC9">
        <w:rPr>
          <w:lang w:val="en-GB"/>
        </w:rPr>
        <w:t>- specify the packaging required</w:t>
      </w:r>
      <w:r w:rsidR="007A5D8B" w:rsidRPr="00550AC9">
        <w:rPr>
          <w:lang w:val="en-GB"/>
        </w:rPr>
        <w:t>;</w:t>
      </w:r>
      <w:r w:rsidRPr="00550AC9">
        <w:rPr>
          <w:lang w:val="en-GB"/>
        </w:rPr>
        <w:t xml:space="preserve"> and</w:t>
      </w:r>
    </w:p>
    <w:p w14:paraId="6D6B956B" w14:textId="1D05C755" w:rsidR="00717481" w:rsidRPr="00550AC9" w:rsidRDefault="004D1C53" w:rsidP="00E31450">
      <w:pPr>
        <w:jc w:val="both"/>
        <w:rPr>
          <w:lang w:val="en-GB"/>
        </w:rPr>
      </w:pPr>
      <w:r w:rsidRPr="00550AC9">
        <w:rPr>
          <w:lang w:val="en-GB"/>
        </w:rPr>
        <w:lastRenderedPageBreak/>
        <w:t xml:space="preserve">- </w:t>
      </w:r>
      <w:r w:rsidR="00864507">
        <w:rPr>
          <w:lang w:val="en-GB"/>
        </w:rPr>
        <w:t xml:space="preserve">it is mandatory to </w:t>
      </w:r>
      <w:r w:rsidRPr="00550AC9">
        <w:rPr>
          <w:lang w:val="en-GB"/>
        </w:rPr>
        <w:t>provide safety data sheets for the hazardous goods.</w:t>
      </w:r>
    </w:p>
    <w:p w14:paraId="53501325" w14:textId="77777777" w:rsidR="00717481" w:rsidRPr="00550AC9" w:rsidRDefault="00717481" w:rsidP="00E31450">
      <w:pPr>
        <w:jc w:val="both"/>
        <w:rPr>
          <w:lang w:val="en-GB"/>
        </w:rPr>
      </w:pPr>
    </w:p>
    <w:p w14:paraId="41FB5439" w14:textId="2BD637CF" w:rsidR="00717481" w:rsidRPr="00550AC9" w:rsidRDefault="000A7DEA" w:rsidP="00E31450">
      <w:pPr>
        <w:jc w:val="both"/>
        <w:rPr>
          <w:lang w:val="en-GB"/>
        </w:rPr>
      </w:pPr>
      <w:r>
        <w:rPr>
          <w:lang w:val="en-GB"/>
        </w:rPr>
        <w:t>The contractor is</w:t>
      </w:r>
      <w:r w:rsidR="004D1C53" w:rsidRPr="00550AC9">
        <w:rPr>
          <w:lang w:val="en-GB"/>
        </w:rPr>
        <w:t xml:space="preserve"> obliged to notify GIZ if the hazardous goods are not licensed for the desired mode of transport</w:t>
      </w:r>
      <w:r w:rsidR="005B36A1">
        <w:rPr>
          <w:lang w:val="en-GB"/>
        </w:rPr>
        <w:t>ation</w:t>
      </w:r>
      <w:r w:rsidR="004D1C53" w:rsidRPr="00550AC9">
        <w:rPr>
          <w:lang w:val="en-GB"/>
        </w:rPr>
        <w:t>; any ban on loading the consignment together with another consignment of goods must also be taken into account.</w:t>
      </w:r>
    </w:p>
    <w:p w14:paraId="61DAEA1E" w14:textId="77777777" w:rsidR="00717481" w:rsidRPr="00550AC9" w:rsidRDefault="00717481" w:rsidP="00E31450">
      <w:pPr>
        <w:jc w:val="both"/>
        <w:rPr>
          <w:lang w:val="en-GB"/>
        </w:rPr>
      </w:pPr>
    </w:p>
    <w:p w14:paraId="435D3594" w14:textId="3407F3DA" w:rsidR="00503A9A" w:rsidRPr="00E34F90" w:rsidRDefault="004D1C53" w:rsidP="0099067E">
      <w:pPr>
        <w:jc w:val="both"/>
        <w:rPr>
          <w:lang w:val="en-GB"/>
        </w:rPr>
      </w:pPr>
      <w:r w:rsidRPr="00550AC9">
        <w:rPr>
          <w:lang w:val="en-GB"/>
        </w:rPr>
        <w:t xml:space="preserve">Important note: </w:t>
      </w:r>
      <w:r w:rsidR="00550AC9">
        <w:rPr>
          <w:lang w:val="en-GB"/>
        </w:rPr>
        <w:t>s</w:t>
      </w:r>
      <w:r w:rsidR="00550AC9" w:rsidRPr="00550AC9">
        <w:rPr>
          <w:lang w:val="en-GB"/>
        </w:rPr>
        <w:t xml:space="preserve">tandard </w:t>
      </w:r>
      <w:r w:rsidRPr="00550AC9">
        <w:rPr>
          <w:lang w:val="en-GB"/>
        </w:rPr>
        <w:t>and rechargeable batteries (either loose or installed in equipment) are also class</w:t>
      </w:r>
      <w:r w:rsidR="00CB0E7B">
        <w:rPr>
          <w:lang w:val="en-GB"/>
        </w:rPr>
        <w:t>ified</w:t>
      </w:r>
      <w:r w:rsidRPr="00550AC9">
        <w:rPr>
          <w:lang w:val="en-GB"/>
        </w:rPr>
        <w:t xml:space="preserve"> as hazardous goods!</w:t>
      </w:r>
    </w:p>
    <w:sectPr w:rsidR="00503A9A" w:rsidRPr="00E34F90" w:rsidSect="00112883">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978A" w14:textId="77777777" w:rsidR="0092651C" w:rsidRDefault="0092651C" w:rsidP="00A637D0">
      <w:r>
        <w:separator/>
      </w:r>
    </w:p>
  </w:endnote>
  <w:endnote w:type="continuationSeparator" w:id="0">
    <w:p w14:paraId="3F0F0C18" w14:textId="77777777" w:rsidR="0092651C" w:rsidRDefault="0092651C" w:rsidP="00A637D0">
      <w:r>
        <w:continuationSeparator/>
      </w:r>
    </w:p>
  </w:endnote>
  <w:endnote w:type="continuationNotice" w:id="1">
    <w:p w14:paraId="74E7A7C8" w14:textId="77777777" w:rsidR="0092651C" w:rsidRDefault="00926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C402" w14:textId="77777777" w:rsidR="0092651C" w:rsidRDefault="0092651C" w:rsidP="00A637D0">
      <w:r>
        <w:separator/>
      </w:r>
    </w:p>
  </w:footnote>
  <w:footnote w:type="continuationSeparator" w:id="0">
    <w:p w14:paraId="621A9252" w14:textId="77777777" w:rsidR="0092651C" w:rsidRDefault="0092651C" w:rsidP="00A637D0">
      <w:r>
        <w:continuationSeparator/>
      </w:r>
    </w:p>
  </w:footnote>
  <w:footnote w:type="continuationNotice" w:id="1">
    <w:p w14:paraId="411C6B4A" w14:textId="77777777" w:rsidR="0092651C" w:rsidRDefault="0092651C"/>
  </w:footnote>
  <w:footnote w:id="2">
    <w:p w14:paraId="1CA1D826" w14:textId="77777777" w:rsidR="00C126B5" w:rsidRDefault="00C126B5" w:rsidP="00C126B5">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3"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4"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8"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19"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3"/>
  </w:num>
  <w:num w:numId="12" w16cid:durableId="1701012795">
    <w:abstractNumId w:val="12"/>
  </w:num>
  <w:num w:numId="13" w16cid:durableId="938947551">
    <w:abstractNumId w:val="17"/>
  </w:num>
  <w:num w:numId="14" w16cid:durableId="1340346856">
    <w:abstractNumId w:val="14"/>
  </w:num>
  <w:num w:numId="15" w16cid:durableId="1340693805">
    <w:abstractNumId w:val="15"/>
  </w:num>
  <w:num w:numId="16" w16cid:durableId="1940603098">
    <w:abstractNumId w:val="16"/>
  </w:num>
  <w:num w:numId="17" w16cid:durableId="929698726">
    <w:abstractNumId w:val="18"/>
  </w:num>
  <w:num w:numId="18" w16cid:durableId="666253736">
    <w:abstractNumId w:val="11"/>
  </w:num>
  <w:num w:numId="19" w16cid:durableId="1786381738">
    <w:abstractNumId w:val="10"/>
  </w:num>
  <w:num w:numId="20" w16cid:durableId="783958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5A72"/>
    <w:rsid w:val="00026FA8"/>
    <w:rsid w:val="000425F4"/>
    <w:rsid w:val="000618AF"/>
    <w:rsid w:val="0007383C"/>
    <w:rsid w:val="0008185E"/>
    <w:rsid w:val="000944C6"/>
    <w:rsid w:val="000974E2"/>
    <w:rsid w:val="000A5522"/>
    <w:rsid w:val="000A7DEA"/>
    <w:rsid w:val="000B0E96"/>
    <w:rsid w:val="000D006F"/>
    <w:rsid w:val="000D0C6C"/>
    <w:rsid w:val="000D6794"/>
    <w:rsid w:val="000E2487"/>
    <w:rsid w:val="001002D6"/>
    <w:rsid w:val="001034E7"/>
    <w:rsid w:val="00110C1D"/>
    <w:rsid w:val="001126B3"/>
    <w:rsid w:val="00125BE6"/>
    <w:rsid w:val="00153719"/>
    <w:rsid w:val="00172339"/>
    <w:rsid w:val="0018022C"/>
    <w:rsid w:val="00181CA4"/>
    <w:rsid w:val="001842C5"/>
    <w:rsid w:val="001844CC"/>
    <w:rsid w:val="00184EAF"/>
    <w:rsid w:val="00186F71"/>
    <w:rsid w:val="00195035"/>
    <w:rsid w:val="00195568"/>
    <w:rsid w:val="001A4E87"/>
    <w:rsid w:val="001B7750"/>
    <w:rsid w:val="001C6F6A"/>
    <w:rsid w:val="001F45AB"/>
    <w:rsid w:val="001F4E22"/>
    <w:rsid w:val="00214DB0"/>
    <w:rsid w:val="00215941"/>
    <w:rsid w:val="00217CB1"/>
    <w:rsid w:val="0023206C"/>
    <w:rsid w:val="002340A1"/>
    <w:rsid w:val="00236929"/>
    <w:rsid w:val="002439F3"/>
    <w:rsid w:val="002631B9"/>
    <w:rsid w:val="00266CDF"/>
    <w:rsid w:val="00270FD8"/>
    <w:rsid w:val="002842A8"/>
    <w:rsid w:val="002953DB"/>
    <w:rsid w:val="00295E39"/>
    <w:rsid w:val="00296544"/>
    <w:rsid w:val="00296C53"/>
    <w:rsid w:val="002A4DA7"/>
    <w:rsid w:val="002B14F5"/>
    <w:rsid w:val="002B6BF5"/>
    <w:rsid w:val="002D1F10"/>
    <w:rsid w:val="002D2C49"/>
    <w:rsid w:val="002D365C"/>
    <w:rsid w:val="002F2E3A"/>
    <w:rsid w:val="002F3233"/>
    <w:rsid w:val="002F39A5"/>
    <w:rsid w:val="0031349C"/>
    <w:rsid w:val="00320E2E"/>
    <w:rsid w:val="00333C05"/>
    <w:rsid w:val="00337666"/>
    <w:rsid w:val="00347E2F"/>
    <w:rsid w:val="00352741"/>
    <w:rsid w:val="003531C2"/>
    <w:rsid w:val="00366DC8"/>
    <w:rsid w:val="00371014"/>
    <w:rsid w:val="00377A1C"/>
    <w:rsid w:val="003A7629"/>
    <w:rsid w:val="003C3D92"/>
    <w:rsid w:val="003D1CD6"/>
    <w:rsid w:val="003D5762"/>
    <w:rsid w:val="003E3E03"/>
    <w:rsid w:val="003F1856"/>
    <w:rsid w:val="00403E20"/>
    <w:rsid w:val="00405EF7"/>
    <w:rsid w:val="0041182E"/>
    <w:rsid w:val="00414F5E"/>
    <w:rsid w:val="00420452"/>
    <w:rsid w:val="0042593F"/>
    <w:rsid w:val="0043077F"/>
    <w:rsid w:val="00435150"/>
    <w:rsid w:val="004427AD"/>
    <w:rsid w:val="00453729"/>
    <w:rsid w:val="00461EA9"/>
    <w:rsid w:val="00463DEC"/>
    <w:rsid w:val="004710DB"/>
    <w:rsid w:val="004743AB"/>
    <w:rsid w:val="0048481C"/>
    <w:rsid w:val="00491FAD"/>
    <w:rsid w:val="004C6F75"/>
    <w:rsid w:val="004D1C53"/>
    <w:rsid w:val="004D59DF"/>
    <w:rsid w:val="004E0E16"/>
    <w:rsid w:val="004F018A"/>
    <w:rsid w:val="004F2F40"/>
    <w:rsid w:val="00503A9A"/>
    <w:rsid w:val="0051768E"/>
    <w:rsid w:val="005274A8"/>
    <w:rsid w:val="00545EE8"/>
    <w:rsid w:val="00545FB9"/>
    <w:rsid w:val="00550AC9"/>
    <w:rsid w:val="00560AA2"/>
    <w:rsid w:val="00561CD1"/>
    <w:rsid w:val="00570D2A"/>
    <w:rsid w:val="00587C6E"/>
    <w:rsid w:val="005958CE"/>
    <w:rsid w:val="0059603E"/>
    <w:rsid w:val="005A268E"/>
    <w:rsid w:val="005A4812"/>
    <w:rsid w:val="005B36A1"/>
    <w:rsid w:val="005C243B"/>
    <w:rsid w:val="005C68AF"/>
    <w:rsid w:val="005E7160"/>
    <w:rsid w:val="005F1197"/>
    <w:rsid w:val="00601D45"/>
    <w:rsid w:val="00604077"/>
    <w:rsid w:val="00607196"/>
    <w:rsid w:val="006168BE"/>
    <w:rsid w:val="00630526"/>
    <w:rsid w:val="006336AB"/>
    <w:rsid w:val="006362A1"/>
    <w:rsid w:val="006374EF"/>
    <w:rsid w:val="00644FAA"/>
    <w:rsid w:val="006544CC"/>
    <w:rsid w:val="00661A4F"/>
    <w:rsid w:val="00664E0B"/>
    <w:rsid w:val="006722B0"/>
    <w:rsid w:val="006A1B87"/>
    <w:rsid w:val="006A6E6C"/>
    <w:rsid w:val="006B7EC3"/>
    <w:rsid w:val="006D6B6B"/>
    <w:rsid w:val="006D70C9"/>
    <w:rsid w:val="006E0CF3"/>
    <w:rsid w:val="006F398C"/>
    <w:rsid w:val="006F4312"/>
    <w:rsid w:val="00706C78"/>
    <w:rsid w:val="00714C90"/>
    <w:rsid w:val="00717481"/>
    <w:rsid w:val="0072060D"/>
    <w:rsid w:val="007361F1"/>
    <w:rsid w:val="00737A61"/>
    <w:rsid w:val="0074125E"/>
    <w:rsid w:val="007511EF"/>
    <w:rsid w:val="0076265A"/>
    <w:rsid w:val="007711E1"/>
    <w:rsid w:val="00787931"/>
    <w:rsid w:val="007A5D8B"/>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50A48"/>
    <w:rsid w:val="00850E8C"/>
    <w:rsid w:val="00864507"/>
    <w:rsid w:val="008676BC"/>
    <w:rsid w:val="008727AF"/>
    <w:rsid w:val="00877964"/>
    <w:rsid w:val="008B56A2"/>
    <w:rsid w:val="008D1F06"/>
    <w:rsid w:val="008D5C8A"/>
    <w:rsid w:val="008D63D3"/>
    <w:rsid w:val="008F1A11"/>
    <w:rsid w:val="008F2E20"/>
    <w:rsid w:val="00906778"/>
    <w:rsid w:val="00911036"/>
    <w:rsid w:val="009236E1"/>
    <w:rsid w:val="0092651C"/>
    <w:rsid w:val="00940A9A"/>
    <w:rsid w:val="009627F3"/>
    <w:rsid w:val="00963C64"/>
    <w:rsid w:val="0096502E"/>
    <w:rsid w:val="00966744"/>
    <w:rsid w:val="009708D3"/>
    <w:rsid w:val="00972897"/>
    <w:rsid w:val="009803DA"/>
    <w:rsid w:val="00987DE1"/>
    <w:rsid w:val="00990168"/>
    <w:rsid w:val="0099067E"/>
    <w:rsid w:val="00991AF1"/>
    <w:rsid w:val="009B2514"/>
    <w:rsid w:val="009B35AA"/>
    <w:rsid w:val="009C6CD2"/>
    <w:rsid w:val="009D3954"/>
    <w:rsid w:val="009F4831"/>
    <w:rsid w:val="00A00E01"/>
    <w:rsid w:val="00A03EA9"/>
    <w:rsid w:val="00A0650B"/>
    <w:rsid w:val="00A41541"/>
    <w:rsid w:val="00A42DF3"/>
    <w:rsid w:val="00A455C0"/>
    <w:rsid w:val="00A53A4E"/>
    <w:rsid w:val="00A547A5"/>
    <w:rsid w:val="00A57492"/>
    <w:rsid w:val="00A6689F"/>
    <w:rsid w:val="00A87080"/>
    <w:rsid w:val="00A92FA1"/>
    <w:rsid w:val="00A97650"/>
    <w:rsid w:val="00AC54D9"/>
    <w:rsid w:val="00AC5B0A"/>
    <w:rsid w:val="00AE5F16"/>
    <w:rsid w:val="00B10D22"/>
    <w:rsid w:val="00B134B6"/>
    <w:rsid w:val="00B256DF"/>
    <w:rsid w:val="00B26FCA"/>
    <w:rsid w:val="00B35792"/>
    <w:rsid w:val="00B359E9"/>
    <w:rsid w:val="00B51056"/>
    <w:rsid w:val="00B52624"/>
    <w:rsid w:val="00B5668F"/>
    <w:rsid w:val="00B62002"/>
    <w:rsid w:val="00B625E5"/>
    <w:rsid w:val="00B814DA"/>
    <w:rsid w:val="00B8228A"/>
    <w:rsid w:val="00B84D99"/>
    <w:rsid w:val="00B965B0"/>
    <w:rsid w:val="00BD0A66"/>
    <w:rsid w:val="00BD1922"/>
    <w:rsid w:val="00BD21FC"/>
    <w:rsid w:val="00BE3E17"/>
    <w:rsid w:val="00BE4796"/>
    <w:rsid w:val="00BF1DA9"/>
    <w:rsid w:val="00C01E72"/>
    <w:rsid w:val="00C06982"/>
    <w:rsid w:val="00C1128C"/>
    <w:rsid w:val="00C126B5"/>
    <w:rsid w:val="00C136DB"/>
    <w:rsid w:val="00C13B82"/>
    <w:rsid w:val="00C6139B"/>
    <w:rsid w:val="00C625F6"/>
    <w:rsid w:val="00C80D62"/>
    <w:rsid w:val="00C861CE"/>
    <w:rsid w:val="00C87E12"/>
    <w:rsid w:val="00CA18FB"/>
    <w:rsid w:val="00CB0E7B"/>
    <w:rsid w:val="00CC2EF4"/>
    <w:rsid w:val="00CC7B4E"/>
    <w:rsid w:val="00CE4343"/>
    <w:rsid w:val="00CF60EA"/>
    <w:rsid w:val="00D01E48"/>
    <w:rsid w:val="00D151F5"/>
    <w:rsid w:val="00D46739"/>
    <w:rsid w:val="00D51967"/>
    <w:rsid w:val="00D51C3F"/>
    <w:rsid w:val="00D627F8"/>
    <w:rsid w:val="00D73948"/>
    <w:rsid w:val="00D75AFF"/>
    <w:rsid w:val="00D76995"/>
    <w:rsid w:val="00D901CB"/>
    <w:rsid w:val="00D97211"/>
    <w:rsid w:val="00DA1723"/>
    <w:rsid w:val="00DD2914"/>
    <w:rsid w:val="00DD3399"/>
    <w:rsid w:val="00DE3D18"/>
    <w:rsid w:val="00DF01F2"/>
    <w:rsid w:val="00E036A0"/>
    <w:rsid w:val="00E05518"/>
    <w:rsid w:val="00E05BEF"/>
    <w:rsid w:val="00E14465"/>
    <w:rsid w:val="00E15266"/>
    <w:rsid w:val="00E26D5E"/>
    <w:rsid w:val="00E31686"/>
    <w:rsid w:val="00E34F90"/>
    <w:rsid w:val="00E361E2"/>
    <w:rsid w:val="00E47B12"/>
    <w:rsid w:val="00E603C6"/>
    <w:rsid w:val="00E6189F"/>
    <w:rsid w:val="00E61B2F"/>
    <w:rsid w:val="00E66850"/>
    <w:rsid w:val="00E67254"/>
    <w:rsid w:val="00E7178F"/>
    <w:rsid w:val="00E90870"/>
    <w:rsid w:val="00E9608B"/>
    <w:rsid w:val="00E96714"/>
    <w:rsid w:val="00EC14E9"/>
    <w:rsid w:val="00EC3DDF"/>
    <w:rsid w:val="00EE1773"/>
    <w:rsid w:val="00EE1D93"/>
    <w:rsid w:val="00EE36CD"/>
    <w:rsid w:val="00EF6A73"/>
    <w:rsid w:val="00F06478"/>
    <w:rsid w:val="00F0760A"/>
    <w:rsid w:val="00F17936"/>
    <w:rsid w:val="00F23EFC"/>
    <w:rsid w:val="00F264B4"/>
    <w:rsid w:val="00F308FE"/>
    <w:rsid w:val="00F3331E"/>
    <w:rsid w:val="00F3686D"/>
    <w:rsid w:val="00F56106"/>
    <w:rsid w:val="00F67D7C"/>
    <w:rsid w:val="00F71C4A"/>
    <w:rsid w:val="00F7229D"/>
    <w:rsid w:val="00F72691"/>
    <w:rsid w:val="00F84E77"/>
    <w:rsid w:val="00FC2D05"/>
    <w:rsid w:val="00FD4817"/>
    <w:rsid w:val="00FD5046"/>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customXml/itemProps3.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364D4E-D847-4A39-A810-8EB51861FD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7931</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9171</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Radloff, Boris GIZ</cp:lastModifiedBy>
  <cp:revision>11</cp:revision>
  <cp:lastPrinted>2020-11-18T15:15:00Z</cp:lastPrinted>
  <dcterms:created xsi:type="dcterms:W3CDTF">2026-01-13T06:24:00Z</dcterms:created>
  <dcterms:modified xsi:type="dcterms:W3CDTF">2026-03-11T08:22:00Z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